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臺北市立大學附小108學年度課程計畫審查表(九年一貫版)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領域(或課程)名稱： (     藝術與人文         )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審委：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王千懿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※「通過」請打</w:t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，「未通過或需修正」請填「建議修改意見」。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※適用項目之委員代號說明：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e2efd9" w:val="clear"/>
          <w:vertAlign w:val="baseline"/>
          <w:rtl w:val="0"/>
        </w:rPr>
        <w:t xml:space="preserve">A:基本課程審查委員：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e2efd9" w:val="clear"/>
          <w:vertAlign w:val="baseline"/>
          <w:rtl w:val="0"/>
        </w:rPr>
        <w:t xml:space="preserve">洪玉倩、賴柏吟、蘇慧珊、楊文琪、許思涵、潘為欣、鄭塋芝、黃心怡、鄭芳怡、蘇怡如、羅苡婷、潘蓮菁、徐靜儀、王千懿、高士國、邱季柔。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d9e2f3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d9e2f3" w:val="clear"/>
          <w:vertAlign w:val="baseline"/>
          <w:rtl w:val="0"/>
        </w:rPr>
        <w:t xml:space="preserve">B:特色課程審查委員：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d9e2f3" w:val="clear"/>
          <w:vertAlign w:val="baseline"/>
          <w:rtl w:val="0"/>
        </w:rPr>
        <w:t xml:space="preserve">陳思潓、郭文傑、蔡桂香、李佩怡、王怡文、林曉怡、林倩瑛、黃傳盛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  <w:rtl w:val="0"/>
        </w:rPr>
        <w:t xml:space="preserve">C:進度表審查委員  ：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  <w:rtl w:val="0"/>
        </w:rPr>
        <w:t xml:space="preserve">吳家瑞、徐章華、謝嘉睿、劉易奇、盧雅文、柯怡如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請審查委員於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107年07月05(五) 中午12：00前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審查完畢，將檔案上傳至wiki網，並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請協助確認修正情形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，萬分感謝！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5629"/>
        <w:gridCol w:w="451"/>
        <w:gridCol w:w="451"/>
        <w:gridCol w:w="451"/>
        <w:gridCol w:w="451"/>
        <w:gridCol w:w="451"/>
        <w:gridCol w:w="1897"/>
        <w:tblGridChange w:id="0">
          <w:tblGrid>
            <w:gridCol w:w="851"/>
            <w:gridCol w:w="5629"/>
            <w:gridCol w:w="451"/>
            <w:gridCol w:w="451"/>
            <w:gridCol w:w="451"/>
            <w:gridCol w:w="451"/>
            <w:gridCol w:w="451"/>
            <w:gridCol w:w="1897"/>
          </w:tblGrid>
        </w:tblGridChange>
      </w:tblGrid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委員別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審查指標/年級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建議修改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A+B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1.依學校課程目標規劃課程計畫，並能對應能力指標。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A+B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2.能配合課程目標及學習內容，設計多元活潑之評量方式。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A+B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3.教材選用及編製搭配課程設計，符合學生學習需求。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語文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(必做)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4.中高年級(語文)每學期安排書法課程10節，推動書法教育鑑賞、習寫與歷史文化等。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圖資利用及閱讀教育融入領域課程計畫(應用閱讀理解策略與閱讀評量)。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(必做)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5.依本市公立國民小學加強學生英語文能力方案—統整規劃英語文領域課程及學習節數實施計畫，全校各年級規劃英語文學習節數情形與相關提升能力措施。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資訊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(必做)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6.資訊倫理與安全健康上網教育課程融入領域課程計畫，落實資訊倫理(含相關法規)教育。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各年級各班級本土語言教學融入領域課程(不含語文領域)每學期至少一節。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性別平等教育、環境教育、資訊教育、家政教育、人權教育、生涯發展教育、海洋教育、國防教育等19項議題確實融入各領域課程。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單元/主題內容融入適合的議題內涵。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品德教育課程融入領域課程計畫，並進行部分固定時數或時段之品德教育教學。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圖資利用及閱讀教育融入領域課程計畫(應用閱讀理解策略與閱讀評量)。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計算議題融入時數是否符合法規規定。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ngLiu"/>
  <w:font w:name="BiauKai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2019-06-27T07:44:00Z</dcterms:created>
  <dc:creator>vincent</dc:creator>
</cp:coreProperties>
</file>