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39" w:rsidRPr="00AC22F7" w:rsidRDefault="00366A89">
      <w:pPr>
        <w:jc w:val="center"/>
        <w:rPr>
          <w:rFonts w:ascii="Times New Roman" w:eastAsia="BiauKai" w:hAnsi="Times New Roman" w:cs="Times New Roman"/>
          <w:b/>
          <w:color w:val="000000" w:themeColor="text1"/>
          <w:sz w:val="40"/>
          <w:szCs w:val="24"/>
        </w:rPr>
      </w:pPr>
      <w:r w:rsidRPr="00AC22F7">
        <w:rPr>
          <w:rFonts w:ascii="Times New Roman" w:eastAsia="BiauKai" w:hAnsi="Times New Roman" w:cs="Times New Roman"/>
          <w:b/>
          <w:color w:val="000000" w:themeColor="text1"/>
          <w:sz w:val="40"/>
          <w:szCs w:val="24"/>
        </w:rPr>
        <w:t xml:space="preserve">  </w:t>
      </w:r>
      <w:r w:rsidRPr="00AC22F7">
        <w:rPr>
          <w:rFonts w:ascii="Times New Roman" w:eastAsia="BiauKai" w:hAnsi="Times New Roman" w:cs="Times New Roman"/>
          <w:b/>
          <w:color w:val="000000" w:themeColor="text1"/>
          <w:sz w:val="40"/>
          <w:szCs w:val="24"/>
        </w:rPr>
        <w:t>臺北市立大學附小</w:t>
      </w:r>
      <w:r w:rsidRPr="00AC22F7">
        <w:rPr>
          <w:rFonts w:ascii="Times New Roman" w:eastAsia="BiauKai" w:hAnsi="Times New Roman" w:cs="Times New Roman"/>
          <w:b/>
          <w:color w:val="000000" w:themeColor="text1"/>
          <w:sz w:val="40"/>
          <w:szCs w:val="24"/>
        </w:rPr>
        <w:t>108</w:t>
      </w:r>
      <w:r w:rsidRPr="00AC22F7">
        <w:rPr>
          <w:rFonts w:ascii="Times New Roman" w:eastAsia="BiauKai" w:hAnsi="Times New Roman" w:cs="Times New Roman"/>
          <w:b/>
          <w:color w:val="000000" w:themeColor="text1"/>
          <w:sz w:val="40"/>
          <w:szCs w:val="24"/>
        </w:rPr>
        <w:t>學年度課程計畫審查表</w:t>
      </w:r>
    </w:p>
    <w:p w:rsidR="005E0539" w:rsidRPr="00AC22F7" w:rsidRDefault="00366A89">
      <w:pPr>
        <w:rPr>
          <w:rFonts w:ascii="BiauKai" w:eastAsia="BiauKai" w:hAnsi="BiauKai" w:cs="BiauKai"/>
          <w:color w:val="000000" w:themeColor="text1"/>
          <w:sz w:val="32"/>
          <w:szCs w:val="28"/>
          <w:u w:val="single"/>
        </w:rPr>
      </w:pPr>
      <w:r w:rsidRPr="00AC22F7">
        <w:rPr>
          <w:rFonts w:ascii="BiauKai" w:eastAsia="BiauKai" w:hAnsi="BiauKai" w:cs="BiauKai"/>
          <w:color w:val="000000" w:themeColor="text1"/>
          <w:sz w:val="36"/>
          <w:szCs w:val="36"/>
        </w:rPr>
        <w:t xml:space="preserve">  </w:t>
      </w:r>
      <w:r w:rsidRPr="00AC22F7">
        <w:rPr>
          <w:rFonts w:ascii="BiauKai" w:eastAsia="BiauKai" w:hAnsi="BiauKai" w:cs="BiauKai"/>
          <w:color w:val="000000" w:themeColor="text1"/>
          <w:sz w:val="32"/>
          <w:szCs w:val="28"/>
        </w:rPr>
        <w:t>領域</w:t>
      </w:r>
      <w:r w:rsidRPr="00AC22F7">
        <w:rPr>
          <w:rFonts w:ascii="BiauKai" w:eastAsia="BiauKai" w:hAnsi="BiauKai" w:cs="BiauKai"/>
          <w:color w:val="000000" w:themeColor="text1"/>
          <w:sz w:val="32"/>
          <w:szCs w:val="28"/>
        </w:rPr>
        <w:t>：資優資源班</w:t>
      </w:r>
      <w:r w:rsidRPr="00AC22F7">
        <w:rPr>
          <w:rFonts w:ascii="BiauKai" w:eastAsia="BiauKai" w:hAnsi="BiauKai" w:cs="BiauKai"/>
          <w:b/>
          <w:color w:val="000000" w:themeColor="text1"/>
          <w:sz w:val="32"/>
          <w:szCs w:val="28"/>
        </w:rPr>
        <w:t xml:space="preserve">    </w:t>
      </w:r>
      <w:r w:rsidR="00B577C0" w:rsidRPr="00AC22F7">
        <w:rPr>
          <w:rFonts w:ascii="BiauKai" w:eastAsia="BiauKai" w:hAnsi="BiauKai" w:cs="BiauKai" w:hint="eastAsia"/>
          <w:b/>
          <w:color w:val="000000" w:themeColor="text1"/>
          <w:sz w:val="32"/>
          <w:szCs w:val="28"/>
        </w:rPr>
        <w:t xml:space="preserve">          </w:t>
      </w:r>
      <w:r w:rsidRPr="00AC22F7">
        <w:rPr>
          <w:rFonts w:ascii="BiauKai" w:eastAsia="BiauKai" w:hAnsi="BiauKai" w:cs="BiauKai"/>
          <w:b/>
          <w:color w:val="000000" w:themeColor="text1"/>
          <w:sz w:val="32"/>
          <w:szCs w:val="28"/>
        </w:rPr>
        <w:t xml:space="preserve"> </w:t>
      </w:r>
      <w:r w:rsidRPr="00AC22F7">
        <w:rPr>
          <w:rFonts w:ascii="BiauKai" w:eastAsia="BiauKai" w:hAnsi="BiauKai" w:cs="BiauKai"/>
          <w:b/>
          <w:color w:val="000000" w:themeColor="text1"/>
          <w:sz w:val="32"/>
          <w:szCs w:val="28"/>
        </w:rPr>
        <w:tab/>
      </w:r>
      <w:r w:rsidRPr="00AC22F7">
        <w:rPr>
          <w:rFonts w:ascii="BiauKai" w:eastAsia="BiauKai" w:hAnsi="BiauKai" w:cs="BiauKai"/>
          <w:color w:val="000000" w:themeColor="text1"/>
          <w:sz w:val="32"/>
          <w:szCs w:val="28"/>
        </w:rPr>
        <w:t xml:space="preserve"> </w:t>
      </w:r>
      <w:r w:rsidRPr="00AC22F7">
        <w:rPr>
          <w:rFonts w:ascii="BiauKai" w:eastAsia="BiauKai" w:hAnsi="BiauKai" w:cs="BiauKai"/>
          <w:color w:val="000000" w:themeColor="text1"/>
          <w:sz w:val="32"/>
          <w:szCs w:val="28"/>
        </w:rPr>
        <w:t>審委：</w:t>
      </w:r>
      <w:r w:rsidRPr="00AC22F7">
        <w:rPr>
          <w:rFonts w:ascii="BiauKai" w:eastAsia="BiauKai" w:hAnsi="BiauKai" w:cs="BiauKai"/>
          <w:color w:val="000000" w:themeColor="text1"/>
          <w:sz w:val="32"/>
          <w:szCs w:val="28"/>
          <w:u w:val="single"/>
        </w:rPr>
        <w:t xml:space="preserve"> </w:t>
      </w:r>
      <w:r w:rsidRPr="00AC22F7">
        <w:rPr>
          <w:rFonts w:ascii="BiauKai" w:eastAsia="BiauKai" w:hAnsi="BiauKai" w:cs="BiauKai"/>
          <w:color w:val="000000" w:themeColor="text1"/>
          <w:sz w:val="32"/>
          <w:szCs w:val="28"/>
          <w:u w:val="single"/>
        </w:rPr>
        <w:t>豐佳燕</w:t>
      </w:r>
      <w:r w:rsidRPr="00AC22F7">
        <w:rPr>
          <w:rFonts w:ascii="BiauKai" w:eastAsia="BiauKai" w:hAnsi="BiauKai" w:cs="BiauKai"/>
          <w:color w:val="000000" w:themeColor="text1"/>
          <w:sz w:val="32"/>
          <w:szCs w:val="28"/>
          <w:u w:val="single"/>
        </w:rPr>
        <w:t xml:space="preserve">        </w:t>
      </w:r>
      <w:r w:rsidRPr="00AC22F7">
        <w:rPr>
          <w:rFonts w:ascii="BiauKai" w:eastAsia="BiauKai" w:hAnsi="BiauKai" w:cs="BiauKai"/>
          <w:color w:val="000000" w:themeColor="text1"/>
          <w:sz w:val="32"/>
          <w:szCs w:val="28"/>
          <w:u w:val="single"/>
        </w:rPr>
        <w:tab/>
      </w:r>
    </w:p>
    <w:p w:rsidR="005E0539" w:rsidRPr="00AC22F7" w:rsidRDefault="00366A89" w:rsidP="00B577C0">
      <w:pPr>
        <w:ind w:leftChars="100" w:left="220"/>
        <w:rPr>
          <w:rFonts w:ascii="BiauKai" w:eastAsia="BiauKai" w:hAnsi="BiauKai" w:cs="BiauKai" w:hint="eastAsia"/>
          <w:color w:val="000000" w:themeColor="text1"/>
          <w:sz w:val="28"/>
          <w:szCs w:val="28"/>
          <w:u w:val="single"/>
        </w:rPr>
      </w:pPr>
      <w:r w:rsidRPr="00AC22F7">
        <w:rPr>
          <w:rFonts w:ascii="BiauKai" w:eastAsia="BiauKai" w:hAnsi="BiauKai" w:cs="BiauKai"/>
          <w:color w:val="000000" w:themeColor="text1"/>
          <w:sz w:val="32"/>
          <w:szCs w:val="28"/>
          <w:u w:val="single"/>
        </w:rPr>
        <w:t>類型：</w:t>
      </w:r>
      <w:r w:rsidRPr="00AC22F7">
        <w:rPr>
          <w:rFonts w:ascii="BiauKai" w:eastAsia="BiauKai" w:hAnsi="BiauKai" w:cs="BiauKai"/>
          <w:color w:val="000000" w:themeColor="text1"/>
          <w:sz w:val="32"/>
          <w:szCs w:val="28"/>
          <w:u w:val="single"/>
        </w:rPr>
        <w:t>本年度資優班課程全部採校訂課程、特殊需求領域</w:t>
      </w:r>
    </w:p>
    <w:p w:rsidR="005E0539" w:rsidRPr="00AC22F7" w:rsidRDefault="005E0539">
      <w:pPr>
        <w:jc w:val="center"/>
        <w:rPr>
          <w:rFonts w:ascii="Gungsuh" w:eastAsia="Gungsuh" w:hAnsi="Gungsuh" w:cs="Gungsuh"/>
          <w:color w:val="000000" w:themeColor="text1"/>
          <w:sz w:val="24"/>
          <w:szCs w:val="24"/>
        </w:rPr>
      </w:pPr>
    </w:p>
    <w:tbl>
      <w:tblPr>
        <w:tblStyle w:val="a5"/>
        <w:tblW w:w="9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91"/>
        <w:gridCol w:w="2389"/>
        <w:gridCol w:w="4048"/>
        <w:gridCol w:w="426"/>
        <w:gridCol w:w="425"/>
        <w:gridCol w:w="567"/>
      </w:tblGrid>
      <w:tr w:rsidR="00AC22F7" w:rsidRPr="00AC22F7" w:rsidTr="00AC22F7">
        <w:trPr>
          <w:trHeight w:val="342"/>
          <w:tblHeader/>
        </w:trPr>
        <w:tc>
          <w:tcPr>
            <w:tcW w:w="1491" w:type="dxa"/>
            <w:vMerge w:val="restart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2389" w:type="dxa"/>
            <w:vMerge w:val="restart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4048" w:type="dxa"/>
            <w:vMerge w:val="restart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課程特色</w:t>
            </w:r>
          </w:p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(包含議題融入、課程設計的重點、教材編輯特色與評量方法)</w:t>
            </w:r>
          </w:p>
        </w:tc>
        <w:tc>
          <w:tcPr>
            <w:tcW w:w="1418" w:type="dxa"/>
            <w:gridSpan w:val="3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審查情形</w:t>
            </w:r>
          </w:p>
        </w:tc>
      </w:tr>
      <w:tr w:rsidR="00AC22F7" w:rsidRPr="00AC22F7" w:rsidTr="00AC22F7">
        <w:trPr>
          <w:trHeight w:val="1020"/>
          <w:tblHeader/>
        </w:trPr>
        <w:tc>
          <w:tcPr>
            <w:tcW w:w="1491" w:type="dxa"/>
            <w:vMerge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</w:rPr>
            </w:pPr>
          </w:p>
        </w:tc>
        <w:tc>
          <w:tcPr>
            <w:tcW w:w="2389" w:type="dxa"/>
            <w:vMerge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</w:rPr>
            </w:pPr>
          </w:p>
        </w:tc>
        <w:tc>
          <w:tcPr>
            <w:tcW w:w="4048" w:type="dxa"/>
            <w:vMerge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符合</w:t>
            </w:r>
          </w:p>
        </w:tc>
        <w:tc>
          <w:tcPr>
            <w:tcW w:w="42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不符合</w:t>
            </w:r>
          </w:p>
        </w:tc>
        <w:tc>
          <w:tcPr>
            <w:tcW w:w="567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AC22F7" w:rsidRPr="00AC22F7" w:rsidTr="00AC22F7">
        <w:trPr>
          <w:trHeight w:val="1820"/>
        </w:trPr>
        <w:tc>
          <w:tcPr>
            <w:tcW w:w="1491" w:type="dxa"/>
            <w:vMerge w:val="restart"/>
            <w:vAlign w:val="center"/>
          </w:tcPr>
          <w:p w:rsidR="008313CB" w:rsidRPr="00AC22F7" w:rsidRDefault="008313CB" w:rsidP="00AC22F7">
            <w:pPr>
              <w:widowControl w:val="0"/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專長領域</w:t>
            </w: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人文探索（三年級）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AC22F7">
            <w:pPr>
              <w:numPr>
                <w:ilvl w:val="0"/>
                <w:numId w:val="5"/>
              </w:numPr>
              <w:ind w:left="270" w:hanging="270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結合個人特色及中華文字造字特色創作個人姓名密碼，並以Kahoot製作闖關題庫。</w:t>
            </w:r>
          </w:p>
          <w:p w:rsidR="008313CB" w:rsidRPr="00AC22F7" w:rsidRDefault="008313CB" w:rsidP="00AC22F7">
            <w:pPr>
              <w:numPr>
                <w:ilvl w:val="0"/>
                <w:numId w:val="5"/>
              </w:numPr>
              <w:ind w:left="270" w:hanging="270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以創意廣告引起學習動機，培養媒體識讀，並展現創意，自拍廣告。</w:t>
            </w:r>
          </w:p>
          <w:p w:rsidR="008313CB" w:rsidRPr="00AC22F7" w:rsidRDefault="008313CB" w:rsidP="00AC22F7">
            <w:pPr>
              <w:numPr>
                <w:ilvl w:val="0"/>
                <w:numId w:val="5"/>
              </w:numPr>
              <w:ind w:left="270" w:hanging="270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透過相聲欣賞及仿作，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  <w:highlight w:val="white"/>
              </w:rPr>
              <w:t>增進學生相聲表演與欣賞能力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:rsidR="008313CB" w:rsidRPr="00AC22F7" w:rsidRDefault="008313CB" w:rsidP="00AC22F7">
            <w:pPr>
              <w:numPr>
                <w:ilvl w:val="0"/>
                <w:numId w:val="5"/>
              </w:numPr>
              <w:ind w:left="270" w:hanging="270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認識SDGs聯合國永續發展目標，與國際接軌。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820"/>
        </w:trPr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人文團訓（四年級）</w:t>
            </w:r>
          </w:p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pStyle w:val="a6"/>
              <w:numPr>
                <w:ilvl w:val="0"/>
                <w:numId w:val="6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將設計思考能力及全球議題融入課程當中，讓孩子察覺生活問題並思考解決方式，完成DFC改變行動。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6"/>
              </w:numPr>
              <w:ind w:leftChars="0" w:left="272" w:hanging="272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從感受、想像、執行及分享四個步驟，提升學生自主行動的能力，並透過多元評量了解學生之解決問題能力，期許提升學生連結自我、社會與全球的世界觀。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741"/>
        </w:trPr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數理探索（三年級）</w:t>
            </w:r>
          </w:p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AC22F7">
            <w:pPr>
              <w:pStyle w:val="a6"/>
              <w:numPr>
                <w:ilvl w:val="0"/>
                <w:numId w:val="7"/>
              </w:numPr>
              <w:ind w:leftChars="0" w:left="272" w:hanging="284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藉由有趣的數學遊戲，激起三年級學生對數學領域的興趣及培養學生數感</w:t>
            </w:r>
            <w:r w:rsidR="00AC22F7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。</w:t>
            </w:r>
          </w:p>
          <w:p w:rsidR="008313CB" w:rsidRPr="00AC22F7" w:rsidRDefault="008313CB" w:rsidP="00AC22F7">
            <w:pPr>
              <w:pStyle w:val="a6"/>
              <w:numPr>
                <w:ilvl w:val="0"/>
                <w:numId w:val="7"/>
              </w:numPr>
              <w:ind w:leftChars="0" w:left="272" w:hanging="284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透過實作，觀察，紀錄，討論，培養學生科學探究精神。減碳大作戰單元結合能源教育及環境教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lastRenderedPageBreak/>
              <w:t>育，學生能藉實際調查瞭解節能的重要。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492"/>
        </w:trPr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數理團訓（四年級）</w:t>
            </w:r>
          </w:p>
          <w:p w:rsidR="008313CB" w:rsidRPr="00AC22F7" w:rsidRDefault="008313CB">
            <w:pPr>
              <w:widowControl w:val="0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pStyle w:val="a6"/>
              <w:numPr>
                <w:ilvl w:val="0"/>
                <w:numId w:val="8"/>
              </w:numPr>
              <w:ind w:leftChars="0" w:left="272" w:hanging="284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透過生活數感課程結合數學，並提供興趣主題的探索與發想。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8"/>
              </w:numPr>
              <w:ind w:leftChars="0" w:left="272" w:hanging="284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配合資訊</w:t>
            </w:r>
            <w:r w:rsidRPr="00AC22F7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課程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製作電子積木與成果發表，體認環境教育的重要性。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820"/>
        </w:trPr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運算思維（四年級）</w:t>
            </w:r>
          </w:p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numPr>
                <w:ilvl w:val="0"/>
                <w:numId w:val="2"/>
              </w:numPr>
              <w:ind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本課程透過操作認識資訊科學基本概念，例如二進位、圖像壓縮、搜尋法、排序法等概念，訓練學生的運算思維能力。</w:t>
            </w:r>
          </w:p>
          <w:p w:rsidR="008313CB" w:rsidRPr="00AC22F7" w:rsidRDefault="008313CB" w:rsidP="008313CB">
            <w:pPr>
              <w:numPr>
                <w:ilvl w:val="0"/>
                <w:numId w:val="2"/>
              </w:numPr>
              <w:ind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能應用所學資訊科學概念延伸探究主題。</w:t>
            </w:r>
          </w:p>
          <w:p w:rsidR="008313CB" w:rsidRPr="00AC22F7" w:rsidRDefault="008313CB" w:rsidP="008313CB">
            <w:pPr>
              <w:numPr>
                <w:ilvl w:val="0"/>
                <w:numId w:val="2"/>
              </w:numPr>
              <w:ind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能運用運算符號概念設計遊戲。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820"/>
        </w:trPr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電腦團訓（五年級）</w:t>
            </w:r>
          </w:p>
          <w:p w:rsidR="008313CB" w:rsidRPr="00AC22F7" w:rsidRDefault="008313CB">
            <w:pPr>
              <w:widowControl w:val="0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numPr>
                <w:ilvl w:val="0"/>
                <w:numId w:val="3"/>
              </w:numPr>
              <w:ind w:left="283" w:hanging="283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本課程是引導學生透過Scratch設計動畫短片及遊戲設計，學習程式概念。</w:t>
            </w:r>
          </w:p>
          <w:p w:rsidR="008313CB" w:rsidRPr="00AC22F7" w:rsidRDefault="008313CB">
            <w:pPr>
              <w:numPr>
                <w:ilvl w:val="0"/>
                <w:numId w:val="3"/>
              </w:numPr>
              <w:ind w:left="283" w:hanging="283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加入「Micro:bit」學習程式與多元的STEM創作。</w:t>
            </w:r>
          </w:p>
          <w:p w:rsidR="008313CB" w:rsidRPr="00AC22F7" w:rsidRDefault="008313CB" w:rsidP="008313CB">
            <w:pPr>
              <w:numPr>
                <w:ilvl w:val="0"/>
                <w:numId w:val="3"/>
              </w:numPr>
              <w:ind w:left="283" w:hanging="283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在課程中融入運算思維歷程，學習「運算思維」核心四大能力，包含任務拆解、模式比對、抽象化與發展演算等，提升學生問題解決能力。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883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電腦團訓（六年級）</w:t>
            </w:r>
          </w:p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pStyle w:val="a6"/>
              <w:numPr>
                <w:ilvl w:val="0"/>
                <w:numId w:val="9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在「Micro:bit」課程中重視運算思維能力的培養，透過電腦科學相關知能的學習，培養邏輯思考、系統化思考等方式。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9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lastRenderedPageBreak/>
              <w:t>加入自我創作以檢視學生的學習成效。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9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透過修圖、拍攝技巧等訓練，讓學生在製作影片時，能夠提升效率，完成作品。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9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透過資訊科技的應用與實作，增進運算思維的應用能力、解決問題能力，甚至還能增進團隊合作與創新的作用。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720"/>
        </w:trPr>
        <w:tc>
          <w:tcPr>
            <w:tcW w:w="14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情意發展</w:t>
            </w: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綜合活動(1)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（三年級）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pStyle w:val="a6"/>
              <w:numPr>
                <w:ilvl w:val="0"/>
                <w:numId w:val="11"/>
              </w:numPr>
              <w:ind w:leftChars="0" w:left="272" w:hanging="284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藉由量表檢核，曼陀螺技法，小組討論等方式協助學生進行自我探索，覺察情緒類型及正向因應方式。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11"/>
              </w:numPr>
              <w:ind w:leftChars="0" w:left="272" w:hanging="284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跨年級活動可增進學生團隊合作及人際互動能力。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11"/>
              </w:numPr>
              <w:ind w:leftChars="0" w:left="272" w:hanging="284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透過探討窮食議題，提供學生藉由討論全球糧食危機反思自身生活習慣的機會。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3000"/>
        </w:trPr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綜合活動(2)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（四年級）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ind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1.藉由量表測驗及配合課程，讓學生能夠更加認識自己特質，面對壓力所在，提升自我的認同感以及幸福感。</w:t>
            </w:r>
          </w:p>
          <w:p w:rsidR="008313CB" w:rsidRPr="00AC22F7" w:rsidRDefault="008313CB" w:rsidP="008313CB">
            <w:pPr>
              <w:ind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2.跨年及活動可增進學生團隊合作及人際互動能力。</w:t>
            </w:r>
          </w:p>
          <w:p w:rsidR="008313CB" w:rsidRPr="00AC22F7" w:rsidRDefault="008313CB" w:rsidP="008313CB">
            <w:pPr>
              <w:ind w:left="272" w:hanging="272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3.結合不同領域的課程以及不同議題，增加課程的多元性，提高學生在課程當中的興趣。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22F7" w:rsidRPr="00AC22F7" w:rsidTr="00AC22F7">
        <w:trPr>
          <w:trHeight w:val="1820"/>
        </w:trPr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綜合活動(3)</w:t>
            </w:r>
          </w:p>
          <w:p w:rsidR="008313CB" w:rsidRPr="00AC22F7" w:rsidRDefault="008313CB" w:rsidP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AC22F7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五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年級）</w:t>
            </w:r>
          </w:p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numPr>
                <w:ilvl w:val="0"/>
                <w:numId w:val="1"/>
              </w:numPr>
              <w:ind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課程設計以引導學生認識自己的多元特質，覺察社會對資優學生的期許。 </w:t>
            </w:r>
          </w:p>
          <w:p w:rsidR="008313CB" w:rsidRPr="00AC22F7" w:rsidRDefault="008313CB" w:rsidP="008313CB">
            <w:pPr>
              <w:numPr>
                <w:ilvl w:val="0"/>
                <w:numId w:val="1"/>
              </w:numPr>
              <w:tabs>
                <w:tab w:val="left" w:pos="130"/>
              </w:tabs>
              <w:ind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透過國際議題的探討與行動，擴及對文化與世界的關懷。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720"/>
        </w:trPr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綜合活動(4)-1</w:t>
            </w:r>
          </w:p>
          <w:p w:rsidR="008313CB" w:rsidRPr="00AC22F7" w:rsidRDefault="008313CB" w:rsidP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AC22F7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六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年級</w:t>
            </w:r>
            <w:r w:rsidRPr="00AC22F7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上學期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numPr>
                <w:ilvl w:val="0"/>
                <w:numId w:val="4"/>
              </w:numPr>
              <w:ind w:left="270" w:hanging="270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善加利用資優特質，探索個人興趣及未來職業趨向。</w:t>
            </w:r>
          </w:p>
          <w:p w:rsidR="008313CB" w:rsidRPr="00AC22F7" w:rsidRDefault="008313CB" w:rsidP="008313CB">
            <w:pPr>
              <w:numPr>
                <w:ilvl w:val="0"/>
                <w:numId w:val="4"/>
              </w:numPr>
              <w:ind w:left="270" w:hanging="270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回顧資優班生活，並規劃未來生涯方向。</w:t>
            </w:r>
          </w:p>
          <w:p w:rsidR="008313CB" w:rsidRPr="00AC22F7" w:rsidRDefault="008313CB" w:rsidP="008313CB">
            <w:pPr>
              <w:numPr>
                <w:ilvl w:val="0"/>
                <w:numId w:val="4"/>
              </w:numPr>
              <w:ind w:left="270" w:hanging="270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團隊合作拍攝資優生大不同影片。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720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獨立研究</w:t>
            </w: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獨立研究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AC22F7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五、六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年級）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pStyle w:val="a6"/>
              <w:numPr>
                <w:ilvl w:val="0"/>
                <w:numId w:val="12"/>
              </w:numPr>
              <w:ind w:leftChars="0" w:left="272" w:hanging="284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依據兒童興趣形成研究團隊，各團隊的兒童自行擬題並確定研究的範圍。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12"/>
              </w:numPr>
              <w:ind w:leftChars="0" w:left="272" w:hanging="284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透過自行擬定想要探究的問題、進而自行解題。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12"/>
              </w:numPr>
              <w:ind w:leftChars="0" w:left="272" w:hanging="284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分享研究發現，以期能培養成為具自主性的研究者。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489"/>
        </w:trPr>
        <w:tc>
          <w:tcPr>
            <w:tcW w:w="14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創造力</w:t>
            </w: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創造思考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（三年級）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pStyle w:val="a6"/>
              <w:numPr>
                <w:ilvl w:val="0"/>
                <w:numId w:val="13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透過思法提供創造力歷程的情意陶冶與培養。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13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結合創造力的概念實際設計創思作品之設計。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720"/>
        </w:trPr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創造思考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(四年級）</w:t>
            </w:r>
          </w:p>
          <w:p w:rsidR="008313CB" w:rsidRPr="00AC22F7" w:rsidRDefault="0083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pStyle w:val="a6"/>
              <w:numPr>
                <w:ilvl w:val="0"/>
                <w:numId w:val="14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透過創意思考技法融入各個不同領域的課程當中，讓學生能有很多熟悉的機會，將創意當作生活的一種習慣。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14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貫徹「坐而言，不如起而行」的初衷，讓學生能夠將自己的創意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lastRenderedPageBreak/>
              <w:t>概念，實際完成作品，應用到生活中。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22F7" w:rsidRPr="00AC22F7" w:rsidTr="00AC22F7">
        <w:trPr>
          <w:trHeight w:val="1720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3CB" w:rsidRPr="00AC22F7" w:rsidRDefault="008313CB" w:rsidP="00AC22F7">
            <w:pPr>
              <w:jc w:val="center"/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b/>
                <w:color w:val="000000" w:themeColor="text1"/>
                <w:sz w:val="24"/>
                <w:szCs w:val="24"/>
              </w:rPr>
              <w:t>領導才能</w:t>
            </w:r>
          </w:p>
        </w:tc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綜合活動(4)-2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（六年級</w:t>
            </w:r>
            <w:r w:rsidRPr="00AC22F7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下學期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  <w:p w:rsidR="008313CB" w:rsidRPr="00AC22F7" w:rsidRDefault="008313CB">
            <w:pP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 w:rsidP="008313CB">
            <w:pPr>
              <w:pStyle w:val="a6"/>
              <w:numPr>
                <w:ilvl w:val="0"/>
                <w:numId w:val="15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能以系統化的方式引導學生進行畢業班刊的製作與學習反思。能透過製作畢業班刊培養學生領導與團體合作的能力。</w:t>
            </w:r>
          </w:p>
          <w:p w:rsidR="008313CB" w:rsidRPr="00AC22F7" w:rsidRDefault="008313CB" w:rsidP="008313CB">
            <w:pPr>
              <w:pStyle w:val="a6"/>
              <w:numPr>
                <w:ilvl w:val="0"/>
                <w:numId w:val="15"/>
              </w:numPr>
              <w:ind w:leftChars="0" w:left="272" w:hanging="272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透過跨年級家族活動與多元教學活動設計與辦理，發展學生的領導才能。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CB" w:rsidRPr="00AC22F7" w:rsidRDefault="008313CB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AC22F7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D0DA3" w:rsidRDefault="00366A89">
      <w:pPr>
        <w:rPr>
          <w:rFonts w:ascii="BiauKai" w:eastAsia="BiauKai" w:hAnsi="BiauKai" w:cs="BiauKai"/>
          <w:color w:val="000000" w:themeColor="text1"/>
          <w:sz w:val="36"/>
          <w:szCs w:val="36"/>
        </w:rPr>
      </w:pPr>
      <w:r>
        <w:rPr>
          <w:rFonts w:ascii="BiauKai" w:eastAsia="BiauKai" w:hAnsi="BiauKai" w:cs="BiauKai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1884214</wp:posOffset>
            </wp:positionH>
            <wp:positionV relativeFrom="paragraph">
              <wp:posOffset>173990</wp:posOffset>
            </wp:positionV>
            <wp:extent cx="1035685" cy="644525"/>
            <wp:effectExtent l="0" t="0" r="5715" b="3175"/>
            <wp:wrapTight wrapText="bothSides">
              <wp:wrapPolygon edited="0">
                <wp:start x="0" y="0"/>
                <wp:lineTo x="0" y="21281"/>
                <wp:lineTo x="21454" y="21281"/>
                <wp:lineTo x="2145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螢幕快照 2019-07-06 上午9.11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39" w:rsidRPr="00366A89" w:rsidRDefault="00366A89">
      <w:pPr>
        <w:rPr>
          <w:rFonts w:ascii="BiauKai" w:eastAsia="BiauKai" w:hAnsi="BiauKai" w:cs="BiauKai" w:hint="eastAsia"/>
          <w:color w:val="000000" w:themeColor="text1"/>
          <w:sz w:val="36"/>
          <w:szCs w:val="36"/>
          <w:lang w:val="en-US"/>
        </w:rPr>
      </w:pPr>
      <w:r w:rsidRPr="00AC22F7">
        <w:rPr>
          <w:rFonts w:ascii="BiauKai" w:eastAsia="BiauKai" w:hAnsi="BiauKai" w:cs="BiauKai"/>
          <w:color w:val="000000" w:themeColor="text1"/>
          <w:sz w:val="36"/>
          <w:szCs w:val="36"/>
        </w:rPr>
        <w:t>審查委員簽章：</w:t>
      </w:r>
      <w:bookmarkStart w:id="0" w:name="_GoBack"/>
      <w:bookmarkEnd w:id="0"/>
    </w:p>
    <w:p w:rsidR="005E0539" w:rsidRPr="00AC22F7" w:rsidRDefault="005E0539">
      <w:pPr>
        <w:rPr>
          <w:color w:val="000000" w:themeColor="text1"/>
        </w:rPr>
      </w:pPr>
    </w:p>
    <w:sectPr w:rsidR="005E0539" w:rsidRPr="00AC22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934"/>
    <w:multiLevelType w:val="hybridMultilevel"/>
    <w:tmpl w:val="BEA40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F6CF3"/>
    <w:multiLevelType w:val="hybridMultilevel"/>
    <w:tmpl w:val="DFEE4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A5656"/>
    <w:multiLevelType w:val="hybridMultilevel"/>
    <w:tmpl w:val="BCA81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152603"/>
    <w:multiLevelType w:val="hybridMultilevel"/>
    <w:tmpl w:val="D73E1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567C1C"/>
    <w:multiLevelType w:val="hybridMultilevel"/>
    <w:tmpl w:val="0BB44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C12165"/>
    <w:multiLevelType w:val="hybridMultilevel"/>
    <w:tmpl w:val="D194CC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E61CD"/>
    <w:multiLevelType w:val="hybridMultilevel"/>
    <w:tmpl w:val="67A0F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751580"/>
    <w:multiLevelType w:val="multilevel"/>
    <w:tmpl w:val="2AFC59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F24D62"/>
    <w:multiLevelType w:val="hybridMultilevel"/>
    <w:tmpl w:val="EDB86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930E47"/>
    <w:multiLevelType w:val="multilevel"/>
    <w:tmpl w:val="D1EE2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535237"/>
    <w:multiLevelType w:val="multilevel"/>
    <w:tmpl w:val="813A2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79A064E"/>
    <w:multiLevelType w:val="hybridMultilevel"/>
    <w:tmpl w:val="4288D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93483A"/>
    <w:multiLevelType w:val="multilevel"/>
    <w:tmpl w:val="1D720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B9145DC"/>
    <w:multiLevelType w:val="hybridMultilevel"/>
    <w:tmpl w:val="A342A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005821"/>
    <w:multiLevelType w:val="multilevel"/>
    <w:tmpl w:val="61440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39"/>
    <w:rsid w:val="00366A89"/>
    <w:rsid w:val="00566B17"/>
    <w:rsid w:val="005E0539"/>
    <w:rsid w:val="006D0DA3"/>
    <w:rsid w:val="00757A68"/>
    <w:rsid w:val="008313CB"/>
    <w:rsid w:val="00AC22F7"/>
    <w:rsid w:val="00B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576F"/>
  <w15:docId w15:val="{5BB52CE5-CD6E-7549-9BD0-2A992F80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8313CB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66A89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6A89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1067</Characters>
  <Application>Microsoft Office Word</Application>
  <DocSecurity>0</DocSecurity>
  <Lines>1067</Lines>
  <Paragraphs>481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2019-07-06T01:10:00Z</cp:lastPrinted>
  <dcterms:created xsi:type="dcterms:W3CDTF">2019-07-06T01:10:00Z</dcterms:created>
  <dcterms:modified xsi:type="dcterms:W3CDTF">2019-07-06T01:11:00Z</dcterms:modified>
</cp:coreProperties>
</file>