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1F0DDF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1F0DDF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1F0D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1112"/>
        <w:gridCol w:w="1160"/>
        <w:gridCol w:w="659"/>
        <w:gridCol w:w="426"/>
        <w:gridCol w:w="831"/>
        <w:gridCol w:w="705"/>
        <w:gridCol w:w="11"/>
      </w:tblGrid>
      <w:tr w:rsidR="00526B46" w:rsidRPr="00941A7D" w14:paraId="753A8EF5" w14:textId="77777777" w:rsidTr="001A45BD">
        <w:trPr>
          <w:gridAfter w:val="1"/>
          <w:wAfter w:w="8" w:type="dxa"/>
          <w:trHeight w:val="454"/>
        </w:trPr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526B46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>學習歷程</w:t>
            </w:r>
            <w:r w:rsidRPr="00941A7D">
              <w:rPr>
                <w:rFonts w:ascii="Microsoft JhengHei" w:eastAsia="Microsoft JhengHei" w:hAnsi="Microsoft JhengHei"/>
              </w:rPr>
              <w:br/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526B46" w:rsidRPr="00941A7D" w14:paraId="4AAB1ACE" w14:textId="77777777" w:rsidTr="001A45BD">
        <w:trPr>
          <w:gridAfter w:val="1"/>
          <w:wAfter w:w="8" w:type="dxa"/>
          <w:trHeight w:val="295"/>
        </w:trPr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 xml:space="preserve">□特殊需求（□創造力 □領導才能 □情意發展 □獨立研究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526B46" w:rsidRPr="00941A7D" w14:paraId="42D9FDE7" w14:textId="77777777" w:rsidTr="001A45BD">
        <w:trPr>
          <w:gridAfter w:val="1"/>
          <w:wAfter w:w="8" w:type="dxa"/>
          <w:trHeight w:val="258"/>
        </w:trPr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</w:p>
        </w:tc>
      </w:tr>
      <w:tr w:rsidR="00526B46" w:rsidRPr="00941A7D" w14:paraId="2AF8D867" w14:textId="77777777" w:rsidTr="001A45BD">
        <w:trPr>
          <w:gridAfter w:val="1"/>
          <w:wAfter w:w="8" w:type="dxa"/>
          <w:trHeight w:val="340"/>
        </w:trPr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/>
                    <w:color w:val="000000" w:themeColor="text1"/>
                  </w:rPr>
                  <w:t>■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1節</w:t>
            </w:r>
          </w:p>
        </w:tc>
      </w:tr>
      <w:tr w:rsidR="00526B46" w:rsidRPr="00941A7D" w14:paraId="590D85C2" w14:textId="77777777" w:rsidTr="001A45BD">
        <w:trPr>
          <w:gridAfter w:val="1"/>
          <w:wAfter w:w="8" w:type="dxa"/>
          <w:trHeight w:val="458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</w:t>
            </w:r>
            <w:bookmarkStart w:id="2" w:name="_GoBack"/>
            <w:bookmarkEnd w:id="2"/>
            <w:r w:rsidRPr="00941A7D">
              <w:rPr>
                <w:rFonts w:ascii="Microsoft JhengHei" w:eastAsia="Microsoft JhengHei" w:hAnsi="Microsoft JhengHei"/>
              </w:rPr>
              <w:t>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1A45BD">
        <w:trPr>
          <w:gridAfter w:val="1"/>
          <w:wAfter w:w="8" w:type="dxa"/>
          <w:trHeight w:val="195"/>
        </w:trPr>
        <w:tc>
          <w:tcPr>
            <w:tcW w:w="69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1A45BD">
        <w:trPr>
          <w:gridAfter w:val="1"/>
          <w:wAfter w:w="8" w:type="dxa"/>
          <w:trHeight w:val="165"/>
        </w:trPr>
        <w:tc>
          <w:tcPr>
            <w:tcW w:w="69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1A45BD">
        <w:trPr>
          <w:gridAfter w:val="1"/>
          <w:wAfter w:w="8" w:type="dxa"/>
          <w:trHeight w:val="340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lastRenderedPageBreak/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1A45BD">
        <w:trPr>
          <w:gridAfter w:val="1"/>
          <w:wAfter w:w="8" w:type="dxa"/>
          <w:trHeight w:val="989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1A45BD">
        <w:trPr>
          <w:gridAfter w:val="1"/>
          <w:wAfter w:w="8" w:type="dxa"/>
          <w:trHeight w:val="454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1A45BD">
        <w:trPr>
          <w:trHeight w:val="37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1A45BD">
        <w:trPr>
          <w:trHeight w:val="1311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lastRenderedPageBreak/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配合國語第三單元「臺灣好風情」</w:t>
            </w:r>
          </w:p>
        </w:tc>
      </w:tr>
      <w:tr w:rsidR="00526B46" w:rsidRPr="00941A7D" w14:paraId="7498D5E2" w14:textId="77777777" w:rsidTr="001A45BD">
        <w:trPr>
          <w:trHeight w:val="44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1A45BD">
        <w:trPr>
          <w:trHeight w:val="44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1A45BD">
        <w:trPr>
          <w:trHeight w:val="808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1A45BD">
        <w:trPr>
          <w:trHeight w:val="157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1A45BD">
        <w:trPr>
          <w:trHeight w:val="111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lastRenderedPageBreak/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lastRenderedPageBreak/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1A45BD">
        <w:trPr>
          <w:trHeight w:val="489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1A45BD">
        <w:trPr>
          <w:gridAfter w:val="1"/>
          <w:wAfter w:w="8" w:type="dxa"/>
          <w:trHeight w:val="810"/>
        </w:trPr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r>
              <w:fldChar w:fldCharType="begin"/>
            </w:r>
            <w:r>
              <w:instrText xml:space="preserve"> HYPERLINK "https://stv.moe.edu.tw/co_video_content.php?p=128654" </w:instrText>
            </w:r>
            <w: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https://stv.moe.edu.tw/co_video_content.php?p=128654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國際教育資訊網：</w:t>
            </w:r>
            <w:hyperlink r:id="rId6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7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9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0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3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4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1A45BD">
        <w:trPr>
          <w:gridAfter w:val="1"/>
          <w:wAfter w:w="8" w:type="dxa"/>
          <w:trHeight w:val="340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1A45BD">
        <w:trPr>
          <w:gridAfter w:val="1"/>
          <w:wAfter w:w="8" w:type="dxa"/>
          <w:trHeight w:val="122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1F0DDF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1A45BD">
        <w:trPr>
          <w:gridAfter w:val="1"/>
          <w:wAfter w:w="11" w:type="dxa"/>
          <w:trHeight w:val="389"/>
        </w:trPr>
        <w:tc>
          <w:tcPr>
            <w:tcW w:w="8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5BA4D03F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Pr="00575F6A">
              <w:rPr>
                <w:rFonts w:ascii="Microsoft JhengHei" w:eastAsia="Microsoft JhengHei" w:hAnsi="Microsoft JhengHei"/>
              </w:rPr>
              <w:t>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1237BB"/>
    <w:rsid w:val="00137EDD"/>
    <w:rsid w:val="001A45BD"/>
    <w:rsid w:val="001A70C3"/>
    <w:rsid w:val="001F0DDF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post.tw/archives/24078" TargetMode="External"/><Relationship Id="rId12" Type="http://schemas.openxmlformats.org/officeDocument/2006/relationships/hyperlink" Target="https://www.csronereporting.com/topics/show/5327" TargetMode="External"/><Relationship Id="rId13" Type="http://schemas.openxmlformats.org/officeDocument/2006/relationships/hyperlink" Target="https://ppt.cc/fpn2lx" TargetMode="External"/><Relationship Id="rId14" Type="http://schemas.openxmlformats.org/officeDocument/2006/relationships/hyperlink" Target="https://www.youtube.com/watch?v=d185ORLyqZE" TargetMode="External"/><Relationship Id="rId15" Type="http://schemas.openxmlformats.org/officeDocument/2006/relationships/hyperlink" Target="https://www.youtube.com/watch?v=qDj7LdUTCPQ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pt.cc/fDXCyx" TargetMode="External"/><Relationship Id="rId7" Type="http://schemas.openxmlformats.org/officeDocument/2006/relationships/hyperlink" Target="https://ananedu.com/a/7/14/a22.htm" TargetMode="External"/><Relationship Id="rId8" Type="http://schemas.openxmlformats.org/officeDocument/2006/relationships/hyperlink" Target="http://120.127.233.75/game/co_game_content.php?p=250411&amp;cat=15189" TargetMode="External"/><Relationship Id="rId9" Type="http://schemas.openxmlformats.org/officeDocument/2006/relationships/hyperlink" Target="https://ppt.cc/fv9ATx" TargetMode="External"/><Relationship Id="rId10" Type="http://schemas.openxmlformats.org/officeDocument/2006/relationships/hyperlink" Target="http://dict.mini.moe.edu.tw/cgi-bin/gdic/gsweb.cgi?o=ddiction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924</Words>
  <Characters>5269</Characters>
  <Application>Microsoft Macintosh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4</cp:revision>
  <dcterms:created xsi:type="dcterms:W3CDTF">2020-07-09T04:24:00Z</dcterms:created>
  <dcterms:modified xsi:type="dcterms:W3CDTF">2020-07-09T06:00:00Z</dcterms:modified>
</cp:coreProperties>
</file>