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14:paraId="7C902ECF" w14:textId="579E30D8" w:rsidR="003943BE" w:rsidRDefault="00B11807" w:rsidP="003943BE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臺北市</w:t>
          </w:r>
          <w:r w:rsidR="00FA5520">
            <w:rPr>
              <w:rFonts w:asciiTheme="minorEastAsia" w:eastAsiaTheme="minorEastAsia" w:hAnsiTheme="minorEastAsia" w:cs="Gungsuh" w:hint="eastAsia"/>
              <w:b/>
              <w:sz w:val="32"/>
              <w:szCs w:val="32"/>
            </w:rPr>
            <w:t>110</w:t>
          </w:r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學年度</w:t>
          </w:r>
        </w:sdtContent>
      </w:sdt>
      <w:sdt>
        <w:sdtPr>
          <w:tag w:val="goog_rdk_1"/>
          <w:id w:val="-60565434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3943BE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3943BE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4260B4BC" w14:textId="77777777" w:rsidR="003943BE" w:rsidRDefault="00B11807" w:rsidP="003943BE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3943BE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3943BE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943BE" w14:paraId="637EFE60" w14:textId="77777777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25BC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6AB37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34E5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17F5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F836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1BD5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AB80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1FE1F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E9320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3943BE" w14:paraId="4E622188" w14:textId="77777777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19B38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C6DD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F8BCD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3337B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AC0D6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4B2B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8588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8917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1C0C6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D4266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90E0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4B3D287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6675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1BF6ABED" w14:textId="77777777" w:rsidR="003943BE" w:rsidRDefault="003943BE" w:rsidP="00C75F2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E7598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943BE" w14:paraId="3CB5E263" w14:textId="77777777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D4C07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A786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A6C79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0425D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AC8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4AA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1DF5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14F0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1A9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711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75F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732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65526" w14:textId="77777777"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D6E6F" w14:textId="77777777"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26880" w14:textId="77777777"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FB79E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3D5F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3DC43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943BE" w14:paraId="1EB3D175" w14:textId="77777777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14:paraId="28BAC6F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F7A6D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85DC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234E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4FA0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7E20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1866B6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CD40273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EC50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A6FC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01F7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50B4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2BFD8C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4EC7BA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F5066F9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B3CDE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AE565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F17D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2D91DD63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3772A53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FB487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D7AF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3C42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8E54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FEDC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A15B7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E3F717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0149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3514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1076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4C2C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90D1B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C929C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D546CCA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E75B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7FDAD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B8ECC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1A8F07A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4FE6D810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B806" w14:textId="77777777"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FB2B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71B73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4DAE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DA3E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6C4ED2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CA685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127B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DA97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A279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DE05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C753876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03D73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66341DA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213F2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41D4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3277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3E1AAB04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C258DA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8F0ED" w14:textId="77777777"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F8E3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08158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ED5E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FC21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F961D1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CE7A7D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DE57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8559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8D33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B5F1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90AB55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ADAA95D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A00C76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ABCC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8AA5B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C53E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1044D4D8" w14:textId="77777777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14:paraId="201F8ED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75B7DED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DC1C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045D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317D3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5DCA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4E0AA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CFC177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D05C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44DB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6EAF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1762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D1F71C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5C48BD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5F6116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C6E7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5E32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843FB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5FF6012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BA6221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F7661A2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B8C742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17A4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BC0E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4BEC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B61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0E1ED2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46FC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0E10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5010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4B08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244D5C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5C9151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E3C0F17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BD479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30E1B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10E1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2B9DE341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B97714F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BE2E7B8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AE0802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0E07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0D51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C416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8B5E90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5B99ED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05EA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BE26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8F93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E43A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2F5EA69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F2E6CF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3177A75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1977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DB76E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2DE0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2A096196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63240D7A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925EB7E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C82960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8113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9D79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1209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84CEF9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A8F60E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6100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0E12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9CF5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3E4F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0B4BA7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061568B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141F600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7403B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7F64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0737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3523B888" w14:textId="77777777" w:rsidTr="00C75F20">
        <w:trPr>
          <w:trHeight w:val="495"/>
        </w:trPr>
        <w:tc>
          <w:tcPr>
            <w:tcW w:w="456" w:type="dxa"/>
            <w:vMerge/>
            <w:vAlign w:val="center"/>
          </w:tcPr>
          <w:p w14:paraId="44F17F6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FB23A7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3798DB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F99F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1D6B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729B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727EEE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205E2B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6B66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FA0C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7973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1A153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836E6C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3F992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BE491D2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5ABACE93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3BA7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531A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FBD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4B0F6153" w14:textId="77777777" w:rsidTr="00C75F20">
        <w:trPr>
          <w:trHeight w:val="393"/>
        </w:trPr>
        <w:tc>
          <w:tcPr>
            <w:tcW w:w="456" w:type="dxa"/>
            <w:vMerge/>
            <w:vAlign w:val="center"/>
          </w:tcPr>
          <w:p w14:paraId="366B072F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2FF5E61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9D493F1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C632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5EBB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0F66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799408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D4D71F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98197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D89E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002C4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6D43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52953D2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D817E72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BDCCF7A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71106305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39FA5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034E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AC2C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1527A8E1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81591D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E895D31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56C90A73" w14:textId="77777777" w:rsidR="003943BE" w:rsidRPr="00E86601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BBF6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7311B291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5B97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6D8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073F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D8CB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FE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E42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4BD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30C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E437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FE0C0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081C5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4DDE" w14:textId="77777777" w:rsidR="003943BE" w:rsidRDefault="003943B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F55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230F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0E94F04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D867C9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66267D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8DF5264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9D05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A8B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AE3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5CBED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D094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D6B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15F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372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13F6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785B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B1333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6A35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2834" w14:textId="77777777" w:rsidR="003943BE" w:rsidRDefault="003943B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1B31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31DE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3754130E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2D2E3CF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F7A340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2A8A05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C972" w14:textId="77777777"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D5E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07A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ED6B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F22E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479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51C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27D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65A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D7525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3B10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A65C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6B2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3AD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203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50B21C6C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F6BC15A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3E55530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2001F4D2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E2BA" w14:textId="2E566E80" w:rsidR="003943BE" w:rsidRDefault="003943BE" w:rsidP="00C75F2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A32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081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6ADBA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3A212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684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45A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E34E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E6F1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2674E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202EC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7095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9D1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DFA2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1BE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4223C9E7" w14:textId="77777777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BF93B37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0361A0F9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3692AD3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D9A" w14:textId="77777777" w:rsidR="003943BE" w:rsidRPr="00BC6496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4478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79ED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D33C4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47C8A8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C8CC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0603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7B01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AE01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731A2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7E273" w14:textId="77777777"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074460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CE40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29A4" w14:textId="77777777"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61D9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3FBAC7D4" w14:textId="77777777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205775C" w14:textId="77777777"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F97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F337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6C88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784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BBC0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F7AC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472AAB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C94C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4705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5F8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DB7F" w14:textId="77777777"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F7C3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D251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4DEC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BEE6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5226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586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14:paraId="21416948" w14:textId="77777777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EA60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C6754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94BE2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F62C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B07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A973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654E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405E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33AF8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EA2F69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787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DB5A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E636" w14:textId="77777777"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6570A374" w14:textId="77777777" w:rsidR="003943BE" w:rsidRDefault="003943BE" w:rsidP="003943BE">
      <w:pPr>
        <w:spacing w:line="180" w:lineRule="auto"/>
        <w:ind w:left="800" w:hanging="800"/>
        <w:jc w:val="both"/>
        <w:rPr>
          <w:b/>
        </w:rPr>
      </w:pPr>
      <w:r>
        <w:lastRenderedPageBreak/>
        <w:t xml:space="preserve">     </w:t>
      </w:r>
    </w:p>
    <w:p w14:paraId="2D3B911A" w14:textId="77777777" w:rsidR="008419AF" w:rsidRDefault="008419AF" w:rsidP="008936DC">
      <w:pPr>
        <w:rPr>
          <w:rFonts w:ascii="標楷體" w:eastAsia="標楷體" w:hAnsi="標楷體" w:cs="Gungsuh"/>
          <w:b/>
          <w:sz w:val="28"/>
          <w:szCs w:val="28"/>
        </w:rPr>
        <w:sectPr w:rsidR="008419AF" w:rsidSect="003943BE">
          <w:pgSz w:w="16840" w:h="11900" w:orient="landscape"/>
          <w:pgMar w:top="1077" w:right="1440" w:bottom="1077" w:left="1440" w:header="851" w:footer="992" w:gutter="0"/>
          <w:cols w:space="425"/>
          <w:docGrid w:linePitch="360"/>
        </w:sectPr>
      </w:pPr>
    </w:p>
    <w:p w14:paraId="613A64DD" w14:textId="77777777" w:rsidR="008936DC" w:rsidRPr="009E3643" w:rsidRDefault="008936DC" w:rsidP="008936DC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183C6AFF" w14:textId="6CA95645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FA5520">
        <w:rPr>
          <w:rFonts w:ascii="Times New Roman" w:eastAsia="標楷體" w:hAnsi="Times New Roman" w:cs="Times New Roman" w:hint="eastAsia"/>
          <w:b/>
          <w:sz w:val="32"/>
          <w:szCs w:val="28"/>
        </w:rPr>
        <w:t>10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19"/>
        <w:gridCol w:w="801"/>
        <w:gridCol w:w="2067"/>
        <w:gridCol w:w="2268"/>
        <w:gridCol w:w="905"/>
        <w:gridCol w:w="170"/>
        <w:gridCol w:w="1335"/>
        <w:gridCol w:w="1559"/>
      </w:tblGrid>
      <w:tr w:rsidR="0082783C" w:rsidRPr="0007433B" w14:paraId="299896F4" w14:textId="77777777" w:rsidTr="00B11CDB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0E1840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5CF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3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CBC3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9F0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6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699C28" w14:textId="77777777"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05978CF9" w14:textId="77777777" w:rsidTr="00C462EF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E22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133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325A1" w14:textId="7135AF5B" w:rsidR="0082783C" w:rsidRPr="0007433B" w:rsidRDefault="00FA5520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 w:hint="eastAsia"/>
                <w:sz w:val="22"/>
              </w:rPr>
              <w:t>特殊需求（</w:t>
            </w:r>
            <w:r w:rsidR="004C348F" w:rsidRPr="00FA5520">
              <w:rPr>
                <w:rFonts w:ascii="標楷體" w:eastAsia="標楷體" w:hAnsi="標楷體"/>
                <w:sz w:val="22"/>
              </w:rPr>
              <w:t>□</w:t>
            </w:r>
            <w:bookmarkStart w:id="3" w:name="_GoBack"/>
            <w:bookmarkEnd w:id="3"/>
            <w:r w:rsidRPr="00FA5520">
              <w:rPr>
                <w:rFonts w:ascii="標楷體" w:eastAsia="標楷體" w:hAnsi="標楷體" w:hint="eastAsia"/>
                <w:sz w:val="22"/>
              </w:rPr>
              <w:t>專長領域</w:t>
            </w:r>
            <w:r w:rsidRPr="00FA5520">
              <w:rPr>
                <w:rFonts w:ascii="標楷體" w:eastAsia="標楷體" w:hAnsi="標楷體"/>
                <w:sz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/>
                <w:sz w:val="22"/>
              </w:rPr>
              <w:t>獨立研究 □情意發展□創造力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FA5520">
              <w:rPr>
                <w:rFonts w:ascii="標楷體" w:eastAsia="標楷體" w:hAnsi="標楷體"/>
                <w:sz w:val="22"/>
              </w:rPr>
              <w:t>領導才能）</w:t>
            </w:r>
          </w:p>
        </w:tc>
      </w:tr>
      <w:tr w:rsidR="0082783C" w:rsidRPr="0007433B" w14:paraId="31BB76F5" w14:textId="77777777" w:rsidTr="00C462EF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ED1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8EBD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109F48" w14:textId="77777777" w:rsidR="0082783C" w:rsidRPr="00BB1E49" w:rsidRDefault="00B11CDB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5273C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其他：</w:t>
            </w:r>
            <w:r w:rsidRPr="005273C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2783C" w:rsidRPr="0007433B" w14:paraId="1AE7C08E" w14:textId="77777777" w:rsidTr="000F11FB">
        <w:trPr>
          <w:trHeight w:val="417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5AC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C8CD" w14:textId="77777777" w:rsidR="0082783C" w:rsidRPr="004C55D2" w:rsidRDefault="00AA5924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數學專題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EB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F3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11EE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26C886" w14:textId="77777777" w:rsidR="0082783C" w:rsidRPr="0007433B" w:rsidRDefault="00BB1E49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4</w:t>
            </w:r>
          </w:p>
        </w:tc>
      </w:tr>
      <w:tr w:rsidR="0082783C" w:rsidRPr="0007433B" w14:paraId="13CD7885" w14:textId="77777777" w:rsidTr="00B11CDB">
        <w:trPr>
          <w:trHeight w:val="4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D57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F8F5" w14:textId="77777777" w:rsidR="0082783C" w:rsidRPr="004C55D2" w:rsidRDefault="00BB1E49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D5F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DAA5C" w14:textId="77777777"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14:paraId="0451D493" w14:textId="77777777" w:rsidTr="00C462EF">
        <w:trPr>
          <w:trHeight w:val="70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4BC6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D36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221206" w14:textId="77777777" w:rsidR="0082783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281A253B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0E1312FE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0CCC437D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1345C224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7635AD9A" w14:textId="77777777" w:rsidR="00031F9A" w:rsidRPr="00A832A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</w:tc>
      </w:tr>
      <w:tr w:rsidR="0082783C" w:rsidRPr="0007433B" w14:paraId="18CE9A19" w14:textId="77777777" w:rsidTr="00C462EF">
        <w:trPr>
          <w:trHeight w:val="2406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C6F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017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DE34B9" w14:textId="77777777" w:rsidR="00820AB0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A9993E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0CB873E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3B10213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74D68CE6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65E8388E" w14:textId="77777777" w:rsidR="00031F9A" w:rsidRP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</w:tc>
      </w:tr>
      <w:tr w:rsidR="0082783C" w:rsidRPr="0007433B" w14:paraId="0AD1B2DD" w14:textId="77777777" w:rsidTr="00031F9A">
        <w:trPr>
          <w:trHeight w:val="1937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FA63E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6B4C9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6FE25B22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表現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9CF1891" w14:textId="77777777" w:rsidR="003D4EBD" w:rsidRP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78EE5E32" w14:textId="77777777" w:rsid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6BA0971A" w14:textId="77777777" w:rsidR="00031F9A" w:rsidRPr="00A832AC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82783C" w:rsidRPr="0007433B" w14:paraId="6868AB79" w14:textId="77777777" w:rsidTr="00C462EF">
        <w:trPr>
          <w:trHeight w:val="855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789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2132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0B06736D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內容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186E488" w14:textId="77777777" w:rsidR="0082783C" w:rsidRDefault="00031F9A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7EF9F744" w14:textId="77777777" w:rsidR="00DE0400" w:rsidRDefault="00DE0400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</w:t>
            </w:r>
            <w:r w:rsidR="00844B4E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出發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，做觀察、推理、說明。</w:t>
            </w:r>
          </w:p>
          <w:p w14:paraId="568FDEF1" w14:textId="77777777" w:rsidR="00DE0400" w:rsidRPr="00A832AC" w:rsidRDefault="00DE0400" w:rsidP="00031F9A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82783C" w:rsidRPr="0007433B" w14:paraId="361FA3EC" w14:textId="77777777" w:rsidTr="00C462EF">
        <w:trPr>
          <w:trHeight w:val="34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3EB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CB7D5" w14:textId="04BDDB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.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能透過多元方式進行</w:t>
            </w:r>
            <w:r w:rsidR="00FD2E47"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數學遊戲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探索，並選定個人或小組探究的主題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70A554AC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2.能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擬定與執行研究計畫。</w:t>
            </w:r>
          </w:p>
          <w:p w14:paraId="11AE32B6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3.能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以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歸納或演繹的方法找出結果。</w:t>
            </w:r>
          </w:p>
          <w:p w14:paraId="0D33FAE1" w14:textId="77777777" w:rsidR="00820AB0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4.能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有系統地整理自己的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研究的結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果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14:paraId="62DC3D11" w14:textId="4E59BB70" w:rsidR="00FD2E47" w:rsidRPr="00B11CDB" w:rsidRDefault="00FD2E47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5.能認識基本的理財方式並建立正確理財觀。</w:t>
            </w:r>
          </w:p>
        </w:tc>
      </w:tr>
      <w:tr w:rsidR="0082783C" w:rsidRPr="0007433B" w14:paraId="45C5369B" w14:textId="77777777" w:rsidTr="00C462EF">
        <w:trPr>
          <w:trHeight w:val="454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E05A0A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EB3283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34FD8F40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7E6D64E9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7BC17A26" w14:textId="77777777" w:rsidTr="004C55D2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9CCAACE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5CA80F0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F16D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B28C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776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5973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6B42993A" w14:textId="77777777" w:rsidTr="000F11FB">
        <w:trPr>
          <w:trHeight w:val="104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296E" w14:textId="51987DE1" w:rsidR="004C3BDD" w:rsidRPr="00B11CDB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B11CD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</w:t>
            </w:r>
            <w:r w:rsid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5EEE" w14:textId="77777777" w:rsidR="000F11FB" w:rsidRDefault="000F11F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渾身解數</w:t>
            </w:r>
          </w:p>
          <w:p w14:paraId="7C23290A" w14:textId="313AB145" w:rsidR="004C3BDD" w:rsidRPr="00B11CDB" w:rsidRDefault="000F11F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  <w:r w:rsidR="00BF7AD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數學遊戲初探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66B61" w14:textId="01E94CCD" w:rsidR="00BF7AD4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數學遊戲的類型與策略分析</w:t>
            </w:r>
          </w:p>
          <w:p w14:paraId="34098639" w14:textId="2670600F" w:rsid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BF7AD4">
              <w:rPr>
                <w:rFonts w:ascii="Times New Roman" w:eastAsia="標楷體" w:hAnsi="Times New Roman" w:cs="Times New Roman" w:hint="eastAsia"/>
                <w:bCs/>
              </w:rPr>
              <w:t>蒐集訪間有趣的數學遊戲</w:t>
            </w:r>
          </w:p>
          <w:p w14:paraId="48FA1BD2" w14:textId="6E9F8901" w:rsidR="004C3BDD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>
              <w:rPr>
                <w:rFonts w:ascii="Times New Roman" w:eastAsia="標楷體" w:hAnsi="Times New Roman" w:cs="Times New Roman" w:hint="eastAsia"/>
                <w:bCs/>
              </w:rPr>
              <w:t>以數學的理論或數學概念進行遊戲分類</w:t>
            </w:r>
          </w:p>
          <w:p w14:paraId="4E21297E" w14:textId="1C67AECD" w:rsidR="000F11FB" w:rsidRP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</w:rPr>
              <w:t>分享遊戲玩法與獲勝因素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4BA0F" w14:textId="46A75831" w:rsidR="000F11FB" w:rsidRPr="004C3BDD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E72A6" w:rsidRPr="00046C2F" w14:paraId="7549B62E" w14:textId="77777777" w:rsidTr="000F11FB">
        <w:trPr>
          <w:trHeight w:val="1773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D46B8" w14:textId="4F4B9245" w:rsidR="001E72A6" w:rsidRPr="00046C2F" w:rsidRDefault="000F11FB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1E72A6">
              <w:rPr>
                <w:rFonts w:ascii="Times New Roman" w:eastAsia="標楷體" w:hAnsi="Times New Roman" w:cs="Times New Roman"/>
                <w:szCs w:val="24"/>
              </w:rPr>
              <w:t>-8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5C321" w14:textId="4C6E3779" w:rsidR="001E72A6" w:rsidRPr="00046C2F" w:rsidRDefault="000F11FB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優良作品選作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52E17" w14:textId="1BC1C705" w:rsidR="00BF7AD4" w:rsidRPr="00A30532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/>
                <w:bCs/>
              </w:rPr>
              <w:t>數學科展優良作品選讀與實作</w:t>
            </w:r>
          </w:p>
          <w:p w14:paraId="1AC2B579" w14:textId="18BF018B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認識數學科展的方向與題材</w:t>
            </w:r>
          </w:p>
          <w:p w14:paraId="23522AF3" w14:textId="2440F20D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選擇優良作品實作並理解科展的歷程與脈絡。</w:t>
            </w:r>
          </w:p>
          <w:p w14:paraId="5D896048" w14:textId="51B2655A" w:rsidR="001E72A6" w:rsidRP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 w:rsidR="00BF7AD4" w:rsidRPr="000F11FB">
              <w:rPr>
                <w:rFonts w:ascii="Times New Roman" w:eastAsia="標楷體" w:hAnsi="Times New Roman" w:cs="Times New Roman" w:hint="eastAsia"/>
                <w:bCs/>
              </w:rPr>
              <w:t>從原有題目提出新的解法或研究方向。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A3F9BD2" w14:textId="2EC50D84" w:rsidR="001E72A6" w:rsidRPr="00722FF0" w:rsidRDefault="001E72A6" w:rsidP="00BF7A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114567D3" w14:textId="77777777" w:rsidTr="000F11FB">
        <w:trPr>
          <w:trHeight w:val="136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FC52" w14:textId="49BE90C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-13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719A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4E8810F6" w14:textId="6A6EEA8A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確認研究主題</w:t>
            </w:r>
          </w:p>
          <w:p w14:paraId="3082A823" w14:textId="759A449B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C7C" w14:textId="77777777" w:rsidR="000F11FB" w:rsidRPr="001E72A6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E72A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尋找研究題目</w:t>
            </w:r>
          </w:p>
          <w:p w14:paraId="6D232932" w14:textId="4CF205B1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自由選擇或老師提供感興趣的數學遊戲。</w:t>
            </w:r>
          </w:p>
          <w:p w14:paraId="78F04F6F" w14:textId="055CFD27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分析及探討數學的概念與方法。</w:t>
            </w:r>
          </w:p>
          <w:p w14:paraId="157B573F" w14:textId="390A1EDC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將數學遊戲與真實世界問題結合，擬定可研究的問題。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EBD6A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5B761E4C" w14:textId="77777777" w:rsidTr="000F11FB">
        <w:trPr>
          <w:trHeight w:val="1562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ACB4BD" w14:textId="621C4B3B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-17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D41DE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6A24E1DA" w14:textId="77777777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FA1F2B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結果</w:t>
            </w:r>
            <w:r w:rsidRPr="00FA1F2B">
              <w:rPr>
                <w:rFonts w:ascii="標楷體" w:eastAsia="標楷體" w:hAnsi="標楷體" w:hint="eastAsia"/>
              </w:rPr>
              <w:t>Ι</w:t>
            </w:r>
          </w:p>
          <w:p w14:paraId="301E9E89" w14:textId="623396C6" w:rsidR="000F11FB" w:rsidRP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EB4C2" w14:textId="77777777" w:rsidR="000F11FB" w:rsidRPr="00850095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85009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撰寫初步研究結果</w:t>
            </w:r>
          </w:p>
          <w:p w14:paraId="29392A41" w14:textId="6E74831F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將研究結果進行初步歸納與結果討論。</w:t>
            </w:r>
          </w:p>
          <w:p w14:paraId="1116C6CC" w14:textId="4747C65B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38F2627A" w14:textId="3616FF84" w:rsidR="000F11FB" w:rsidRPr="000F11FB" w:rsidRDefault="000F11FB" w:rsidP="000F11F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利用簡報呈現研究的初步結果。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B8BEA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4F9DBDB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3475" w14:textId="7777777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8-20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EBEE7" w14:textId="77777777" w:rsidR="000F11FB" w:rsidRDefault="000F11FB" w:rsidP="000F1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研究結果</w:t>
            </w:r>
          </w:p>
          <w:p w14:paraId="2C362E59" w14:textId="255E59B8" w:rsidR="000F11FB" w:rsidRPr="009E3643" w:rsidRDefault="000F11FB" w:rsidP="000F11F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分享與修正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AB5B" w14:textId="36E224D9" w:rsidR="000F11FB" w:rsidRPr="00211BE3" w:rsidRDefault="000F11FB" w:rsidP="00211BE3">
            <w:pPr>
              <w:pStyle w:val="a4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b/>
              </w:rPr>
            </w:pPr>
            <w:r w:rsidRPr="00211BE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分享結果與發現</w:t>
            </w:r>
          </w:p>
          <w:p w14:paraId="0DBE2B8F" w14:textId="5DFE7C97" w:rsidR="00211BE3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211BE3">
              <w:rPr>
                <w:rFonts w:ascii="標楷體" w:eastAsia="標楷體" w:hAnsi="標楷體" w:hint="eastAsia"/>
              </w:rPr>
              <w:t>進行組內分享及修正。</w:t>
            </w:r>
          </w:p>
          <w:p w14:paraId="2B36518A" w14:textId="0A3292C9" w:rsidR="000F11FB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211BE3">
              <w:rPr>
                <w:rFonts w:ascii="標楷體" w:eastAsia="標楷體" w:hAnsi="標楷體" w:hint="eastAsia"/>
              </w:rPr>
              <w:t>依據檢討的結果，修正研究方向與方法</w:t>
            </w:r>
            <w:r w:rsidR="00FD2E47">
              <w:rPr>
                <w:rFonts w:ascii="標楷體" w:eastAsia="標楷體" w:hAnsi="標楷體" w:hint="eastAsia"/>
              </w:rPr>
              <w:t>3.</w:t>
            </w:r>
            <w:r w:rsidR="000F11FB" w:rsidRPr="00211BE3">
              <w:rPr>
                <w:rFonts w:ascii="標楷體" w:eastAsia="標楷體" w:hAnsi="標楷體" w:hint="eastAsia"/>
              </w:rPr>
              <w:t>利用寒假規畫下學期的研究時程。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E2E86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624EA66" w14:textId="77777777" w:rsidTr="004C55D2">
        <w:trPr>
          <w:trHeight w:val="438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0743BBF" w14:textId="77777777" w:rsidR="000F11FB" w:rsidRPr="00046C2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0F11FB" w:rsidRPr="00046C2F" w14:paraId="4D131EFC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26FE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B33E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2A9D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5DA1C0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0F11FB" w:rsidRPr="00046C2F" w14:paraId="4E42D823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9A6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1</w:t>
            </w:r>
            <w:r w:rsidRPr="00C462EF">
              <w:rPr>
                <w:rFonts w:ascii="Times New Roman" w:eastAsia="標楷體" w:hAnsi="Times New Roman" w:cs="Times New Roman"/>
              </w:rPr>
              <w:t>-5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B6F0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91D" w14:textId="73DDD710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利用寒假修正原本的報告書，並加入新的研究問題及目的。</w:t>
            </w:r>
          </w:p>
          <w:p w14:paraId="17ED32A8" w14:textId="2C1A823A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0F11FB" w:rsidRPr="0083064E">
              <w:rPr>
                <w:rFonts w:ascii="Times New Roman" w:eastAsia="標楷體" w:hAnsi="Times New Roman" w:cs="Times New Roman"/>
              </w:rPr>
              <w:t>掌握解題的規律：用聚斂性思考的過程來尋得解題通則。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BD17B3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0B06D66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93B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6</w:t>
            </w:r>
            <w:r w:rsidRPr="00C462EF"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13AD5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</w:t>
            </w:r>
            <w:r>
              <w:rPr>
                <w:rFonts w:ascii="標楷體" w:eastAsia="標楷體" w:hAnsi="標楷體" w:hint="eastAsia"/>
              </w:rPr>
              <w:t>果</w:t>
            </w:r>
            <w:r w:rsidRPr="00B100DC">
              <w:rPr>
                <w:rFonts w:ascii="標楷體" w:eastAsia="標楷體" w:hAnsi="標楷體" w:hint="eastAsia"/>
              </w:rPr>
              <w:t>階段Π</w:t>
            </w:r>
          </w:p>
          <w:p w14:paraId="6E2ABA25" w14:textId="77777777" w:rsidR="000F11FB" w:rsidRPr="00B100DC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0331" w14:textId="28E969A0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根據新的研究結果，完成報告撰寫。</w:t>
            </w:r>
          </w:p>
          <w:p w14:paraId="7E6B6269" w14:textId="2818639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83064E">
              <w:rPr>
                <w:rFonts w:ascii="標楷體" w:eastAsia="標楷體" w:hAnsi="標楷體"/>
              </w:rPr>
              <w:t>撰寫研究報告：歸納整理、分析資料整合所有的研究。</w:t>
            </w:r>
          </w:p>
          <w:p w14:paraId="78AB60D5" w14:textId="633BD96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F11FB" w:rsidRPr="0083064E">
              <w:rPr>
                <w:rFonts w:ascii="標楷體" w:eastAsia="標楷體" w:hAnsi="標楷體"/>
              </w:rPr>
              <w:t>尋求接受：針對所提出的解題方法，徵求所有聽眾的意見，並加以修正，進而悅納多數人的意見，再做進一步的研討。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AED3F9" w14:textId="23CA41A9" w:rsidR="000F11FB" w:rsidRPr="00956D71" w:rsidRDefault="000F11FB" w:rsidP="00956D7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1E3FBB6A" w14:textId="77777777" w:rsidTr="000F11FB">
        <w:trPr>
          <w:trHeight w:val="1804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997D" w14:textId="77777777" w:rsidR="000F11FB" w:rsidRPr="00A832AC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1E1C" w14:textId="5A9A74F6" w:rsidR="000F11FB" w:rsidRPr="00956D71" w:rsidRDefault="00956D71" w:rsidP="000F11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理財小玩家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EA43" w14:textId="77777777" w:rsidR="00956D71" w:rsidRPr="00956D71" w:rsidRDefault="00956D71" w:rsidP="000F11F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理財遊戲王</w:t>
            </w:r>
          </w:p>
          <w:p w14:paraId="7B8BFF84" w14:textId="6048F89C" w:rsidR="00956D71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56D71" w:rsidRPr="001E7A6E">
              <w:rPr>
                <w:rFonts w:ascii="Times New Roman" w:eastAsia="標楷體" w:hAnsi="Times New Roman" w:cs="Times New Roman" w:hint="eastAsia"/>
              </w:rPr>
              <w:t>透過桌遊認識基本理財概念。</w:t>
            </w:r>
          </w:p>
          <w:p w14:paraId="7F0B7756" w14:textId="18158A36" w:rsidR="001E7A6E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1E7A6E">
              <w:rPr>
                <w:rFonts w:ascii="Times New Roman" w:eastAsia="標楷體" w:hAnsi="Times New Roman" w:cs="Times New Roman" w:hint="eastAsia"/>
              </w:rPr>
              <w:t>以遊戲探討市場經濟學與供需法則。</w:t>
            </w:r>
          </w:p>
          <w:p w14:paraId="0640400E" w14:textId="7BA5BE9A" w:rsidR="00956D71" w:rsidRPr="00956D71" w:rsidRDefault="001E7A6E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分析與檢視自己的金錢觀與用錢方式</w:t>
            </w:r>
          </w:p>
          <w:p w14:paraId="5D314E00" w14:textId="33C8976C" w:rsidR="000F11FB" w:rsidRPr="00956D71" w:rsidRDefault="001E7A6E" w:rsidP="0083064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結合現有的理財遊戲，創新或改良遊戲。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8A432C" w14:textId="5FB9E929" w:rsidR="000F11FB" w:rsidRPr="006A30AC" w:rsidRDefault="000F11FB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56D71" w:rsidRPr="00046C2F" w14:paraId="3CAEDA7B" w14:textId="77777777" w:rsidTr="00956D71">
        <w:trPr>
          <w:trHeight w:val="140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058F7A" w14:textId="77777777" w:rsidR="00956D71" w:rsidRPr="00A832AC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DF71E" w14:textId="3984521E" w:rsidR="00956D71" w:rsidRPr="00956D71" w:rsidRDefault="00956D71" w:rsidP="00956D7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我的獨立研究計畫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4F0B23" w14:textId="77777777" w:rsidR="00956D71" w:rsidRPr="00956D71" w:rsidRDefault="00956D71" w:rsidP="00956D7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擬定獨立研究計畫書</w:t>
            </w:r>
          </w:p>
          <w:p w14:paraId="076B0713" w14:textId="3B05B81E" w:rsidR="00956D71" w:rsidRPr="00956D71" w:rsidRDefault="00FD2E47" w:rsidP="00FD2E4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56D71" w:rsidRPr="00956D71">
              <w:rPr>
                <w:rFonts w:ascii="Times New Roman" w:eastAsia="標楷體" w:hAnsi="Times New Roman" w:cs="Times New Roman"/>
                <w:szCs w:val="24"/>
              </w:rPr>
              <w:t>參與並觀摩學長姐的畢業成果發表，彙整心得與收穫。</w:t>
            </w:r>
          </w:p>
          <w:p w14:paraId="28CD0C18" w14:textId="3974A5F0" w:rsidR="00956D71" w:rsidRPr="00956D71" w:rsidRDefault="00956D71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D2E4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956D71">
              <w:rPr>
                <w:rFonts w:ascii="Times New Roman" w:eastAsia="標楷體" w:hAnsi="Times New Roman" w:cs="Times New Roman"/>
                <w:szCs w:val="24"/>
              </w:rPr>
              <w:t>執行與規畫下一學年即將進行的研究主題與研究計畫。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5B934" w14:textId="77777777" w:rsidR="00956D71" w:rsidRPr="006A30AC" w:rsidRDefault="00956D71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56D71" w:rsidRPr="00046C2F" w14:paraId="775470B3" w14:textId="77777777" w:rsidTr="00956D71">
        <w:trPr>
          <w:trHeight w:val="340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6B51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304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21B29A" w14:textId="7AE55606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6D71" w:rsidRPr="00F679CF">
              <w:rPr>
                <w:rFonts w:ascii="標楷體" w:eastAsia="標楷體" w:hAnsi="標楷體" w:hint="eastAsia"/>
              </w:rPr>
              <w:t>學習單：自編</w:t>
            </w:r>
          </w:p>
          <w:p w14:paraId="79CDB647" w14:textId="36EEC6FD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56D71" w:rsidRPr="00F679CF">
              <w:rPr>
                <w:rFonts w:ascii="標楷體" w:eastAsia="標楷體" w:hAnsi="標楷體" w:hint="eastAsia"/>
              </w:rPr>
              <w:t>網站：</w:t>
            </w:r>
          </w:p>
          <w:p w14:paraId="63D6B734" w14:textId="77777777" w:rsidR="00956D71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26630C1" w14:textId="77777777" w:rsidR="00956D71" w:rsidRDefault="00956D71" w:rsidP="00956D71">
            <w:pPr>
              <w:snapToGrid w:val="0"/>
              <w:spacing w:line="240" w:lineRule="atLeast"/>
              <w:rPr>
                <w:rStyle w:val="a5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14:paraId="3F3F3802" w14:textId="6E77EAEF" w:rsidR="00FD2E47" w:rsidRPr="00F679CF" w:rsidRDefault="00F679CF" w:rsidP="00F679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2E47" w:rsidRPr="00F679CF">
              <w:rPr>
                <w:rFonts w:ascii="標楷體" w:eastAsia="標楷體" w:hAnsi="標楷體" w:hint="eastAsia"/>
              </w:rPr>
              <w:t>桌遊:財富自由、股票大亨、魔法交易所</w:t>
            </w:r>
          </w:p>
        </w:tc>
      </w:tr>
      <w:tr w:rsidR="00956D71" w:rsidRPr="00046C2F" w14:paraId="6914E6DD" w14:textId="77777777" w:rsidTr="00956D71">
        <w:trPr>
          <w:trHeight w:val="58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8A45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E97405" w14:textId="77777777" w:rsidR="00956D71" w:rsidRPr="00101FFC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956D71" w:rsidRPr="00046C2F" w14:paraId="035B7F74" w14:textId="77777777" w:rsidTr="00C462EF">
        <w:trPr>
          <w:trHeight w:val="11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A0A6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C4DD84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4D72E94B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4C6CC201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56D71" w:rsidRPr="00046C2F" w14:paraId="3CA8E2FB" w14:textId="77777777" w:rsidTr="00C462EF">
        <w:trPr>
          <w:trHeight w:val="1119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352582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CD80C" w14:textId="11A82C83" w:rsidR="00956D71" w:rsidRPr="003D0EEC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D0EEC">
              <w:rPr>
                <w:rFonts w:ascii="標楷體" w:eastAsia="標楷體" w:hAnsi="標楷體" w:hint="eastAsia"/>
              </w:rPr>
              <w:t>授課時間：</w:t>
            </w:r>
            <w:r w:rsidRPr="003D0EEC">
              <w:rPr>
                <w:rFonts w:eastAsia="標楷體"/>
              </w:rPr>
              <w:t>授課期間：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9</w:t>
            </w:r>
            <w:r w:rsidRPr="003D0EEC">
              <w:rPr>
                <w:rFonts w:eastAsia="標楷體"/>
              </w:rPr>
              <w:t>月至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6</w:t>
            </w:r>
            <w:r w:rsidRPr="003D0EEC">
              <w:rPr>
                <w:rFonts w:eastAsia="標楷體"/>
              </w:rPr>
              <w:t>月止</w:t>
            </w:r>
            <w:r w:rsidRPr="003D0EEC">
              <w:rPr>
                <w:rFonts w:eastAsia="標楷體"/>
              </w:rPr>
              <w:t xml:space="preserve"> </w:t>
            </w:r>
            <w:r w:rsidRPr="003D0EEC">
              <w:rPr>
                <w:rFonts w:eastAsia="標楷體"/>
              </w:rPr>
              <w:t>。</w:t>
            </w:r>
          </w:p>
          <w:p w14:paraId="6E292CCF" w14:textId="77777777" w:rsidR="00956D71" w:rsidRPr="00046C2F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361892AC" w14:textId="4615CE7A" w:rsidR="00566621" w:rsidRPr="00046C2F" w:rsidRDefault="00956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</w:p>
    <w:sectPr w:rsidR="00566621" w:rsidRPr="00046C2F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B72" w14:textId="77777777" w:rsidR="00B11807" w:rsidRDefault="00B11807" w:rsidP="00BB1E49">
      <w:r>
        <w:separator/>
      </w:r>
    </w:p>
  </w:endnote>
  <w:endnote w:type="continuationSeparator" w:id="0">
    <w:p w14:paraId="2B385971" w14:textId="77777777" w:rsidR="00B11807" w:rsidRDefault="00B11807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2675" w14:textId="77777777" w:rsidR="00B11807" w:rsidRDefault="00B11807" w:rsidP="00BB1E49">
      <w:r>
        <w:separator/>
      </w:r>
    </w:p>
  </w:footnote>
  <w:footnote w:type="continuationSeparator" w:id="0">
    <w:p w14:paraId="213C0B32" w14:textId="77777777" w:rsidR="00B11807" w:rsidRDefault="00B11807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B1953"/>
    <w:multiLevelType w:val="hybridMultilevel"/>
    <w:tmpl w:val="396EC290"/>
    <w:lvl w:ilvl="0" w:tplc="8E503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829CE"/>
    <w:multiLevelType w:val="hybridMultilevel"/>
    <w:tmpl w:val="629A32E6"/>
    <w:lvl w:ilvl="0" w:tplc="E3A24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E7102"/>
    <w:multiLevelType w:val="hybridMultilevel"/>
    <w:tmpl w:val="377868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F6665"/>
    <w:multiLevelType w:val="hybridMultilevel"/>
    <w:tmpl w:val="B166127A"/>
    <w:lvl w:ilvl="0" w:tplc="DF0E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B55ED"/>
    <w:multiLevelType w:val="multilevel"/>
    <w:tmpl w:val="797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FD3B97"/>
    <w:multiLevelType w:val="hybridMultilevel"/>
    <w:tmpl w:val="9974A00A"/>
    <w:lvl w:ilvl="0" w:tplc="4AEE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319CF"/>
    <w:multiLevelType w:val="hybridMultilevel"/>
    <w:tmpl w:val="08BC8214"/>
    <w:lvl w:ilvl="0" w:tplc="1BFAA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1809F6"/>
    <w:multiLevelType w:val="hybridMultilevel"/>
    <w:tmpl w:val="FE1640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39278A"/>
    <w:multiLevelType w:val="multilevel"/>
    <w:tmpl w:val="2918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A2CC9"/>
    <w:multiLevelType w:val="hybridMultilevel"/>
    <w:tmpl w:val="18FCCD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12AD5"/>
    <w:multiLevelType w:val="hybridMultilevel"/>
    <w:tmpl w:val="9F343C28"/>
    <w:lvl w:ilvl="0" w:tplc="F1AE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25"/>
  </w:num>
  <w:num w:numId="5">
    <w:abstractNumId w:val="32"/>
  </w:num>
  <w:num w:numId="6">
    <w:abstractNumId w:val="19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30"/>
  </w:num>
  <w:num w:numId="13">
    <w:abstractNumId w:val="35"/>
  </w:num>
  <w:num w:numId="14">
    <w:abstractNumId w:val="10"/>
  </w:num>
  <w:num w:numId="15">
    <w:abstractNumId w:val="2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21"/>
  </w:num>
  <w:num w:numId="21">
    <w:abstractNumId w:val="33"/>
  </w:num>
  <w:num w:numId="22">
    <w:abstractNumId w:val="9"/>
  </w:num>
  <w:num w:numId="23">
    <w:abstractNumId w:val="6"/>
  </w:num>
  <w:num w:numId="24">
    <w:abstractNumId w:val="8"/>
  </w:num>
  <w:num w:numId="25">
    <w:abstractNumId w:val="1"/>
  </w:num>
  <w:num w:numId="26">
    <w:abstractNumId w:val="5"/>
  </w:num>
  <w:num w:numId="27">
    <w:abstractNumId w:val="3"/>
  </w:num>
  <w:num w:numId="28">
    <w:abstractNumId w:val="27"/>
  </w:num>
  <w:num w:numId="29">
    <w:abstractNumId w:val="34"/>
  </w:num>
  <w:num w:numId="30">
    <w:abstractNumId w:val="4"/>
  </w:num>
  <w:num w:numId="31">
    <w:abstractNumId w:val="28"/>
  </w:num>
  <w:num w:numId="32">
    <w:abstractNumId w:val="7"/>
  </w:num>
  <w:num w:numId="33">
    <w:abstractNumId w:val="26"/>
  </w:num>
  <w:num w:numId="3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9"/>
  </w:num>
  <w:num w:numId="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25F72"/>
    <w:rsid w:val="00031F9A"/>
    <w:rsid w:val="00046C2F"/>
    <w:rsid w:val="0005274A"/>
    <w:rsid w:val="00071278"/>
    <w:rsid w:val="00082A08"/>
    <w:rsid w:val="000B69A7"/>
    <w:rsid w:val="000E18B5"/>
    <w:rsid w:val="000E6079"/>
    <w:rsid w:val="000F1017"/>
    <w:rsid w:val="000F11FB"/>
    <w:rsid w:val="00105222"/>
    <w:rsid w:val="00105566"/>
    <w:rsid w:val="001304B9"/>
    <w:rsid w:val="00133BB5"/>
    <w:rsid w:val="0019373F"/>
    <w:rsid w:val="00193804"/>
    <w:rsid w:val="001B42E8"/>
    <w:rsid w:val="001D66D4"/>
    <w:rsid w:val="001E72A6"/>
    <w:rsid w:val="001E7A6E"/>
    <w:rsid w:val="00211BE3"/>
    <w:rsid w:val="0021383E"/>
    <w:rsid w:val="00214365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A2E17"/>
    <w:rsid w:val="004B56F4"/>
    <w:rsid w:val="004C348F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F7E32"/>
    <w:rsid w:val="00651E02"/>
    <w:rsid w:val="00666A00"/>
    <w:rsid w:val="006861CA"/>
    <w:rsid w:val="006A30AC"/>
    <w:rsid w:val="006D2D0F"/>
    <w:rsid w:val="00722FF0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3064E"/>
    <w:rsid w:val="008419AF"/>
    <w:rsid w:val="00844400"/>
    <w:rsid w:val="00844B4E"/>
    <w:rsid w:val="00850095"/>
    <w:rsid w:val="008630B0"/>
    <w:rsid w:val="008748C6"/>
    <w:rsid w:val="008936DC"/>
    <w:rsid w:val="0089720C"/>
    <w:rsid w:val="008D60FE"/>
    <w:rsid w:val="008E59C5"/>
    <w:rsid w:val="00944B25"/>
    <w:rsid w:val="009475F2"/>
    <w:rsid w:val="00954AA0"/>
    <w:rsid w:val="00955112"/>
    <w:rsid w:val="00956D71"/>
    <w:rsid w:val="00961449"/>
    <w:rsid w:val="009627D6"/>
    <w:rsid w:val="00A054C2"/>
    <w:rsid w:val="00A30532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807"/>
    <w:rsid w:val="00B11CDB"/>
    <w:rsid w:val="00B40836"/>
    <w:rsid w:val="00B465BB"/>
    <w:rsid w:val="00B803AB"/>
    <w:rsid w:val="00B90D02"/>
    <w:rsid w:val="00BB1E49"/>
    <w:rsid w:val="00BE4396"/>
    <w:rsid w:val="00BF05C7"/>
    <w:rsid w:val="00BF7AD4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A1BA6"/>
    <w:rsid w:val="00F265F1"/>
    <w:rsid w:val="00F679CF"/>
    <w:rsid w:val="00F8091D"/>
    <w:rsid w:val="00FA1F2B"/>
    <w:rsid w:val="00FA5520"/>
    <w:rsid w:val="00FB4B92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5832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character" w:customStyle="1" w:styleId="apple-tab-span">
    <w:name w:val="apple-tab-span"/>
    <w:basedOn w:val="a0"/>
    <w:rsid w:val="009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EEB3-AB18-4E74-A755-3A4C51EE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6</cp:revision>
  <dcterms:created xsi:type="dcterms:W3CDTF">2021-06-14T15:04:00Z</dcterms:created>
  <dcterms:modified xsi:type="dcterms:W3CDTF">2021-07-24T12:13:00Z</dcterms:modified>
</cp:coreProperties>
</file>